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培训学员往返交通费报销说明</w:t>
      </w:r>
    </w:p>
    <w:p>
      <w:pPr>
        <w:spacing w:after="0" w:line="240" w:lineRule="auto"/>
        <w:ind w:firstLine="480" w:firstLineChars="15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Hans"/>
        </w:rPr>
        <w:t>南京艺术学院</w:t>
      </w:r>
      <w:r>
        <w:rPr>
          <w:rFonts w:hint="eastAsia" w:asciiTheme="minorEastAsia" w:hAnsiTheme="minorEastAsia"/>
          <w:sz w:val="32"/>
          <w:szCs w:val="32"/>
          <w:lang w:eastAsia="zh-CN"/>
        </w:rPr>
        <w:t>负责承担学员参加培训期间往返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南京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      （集中培训地点）的交通费，现将报销要求说明如下：</w:t>
      </w:r>
    </w:p>
    <w:p>
      <w:pPr>
        <w:spacing w:after="0" w:line="240" w:lineRule="auto"/>
        <w:ind w:firstLine="641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第一条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交通费报销范围为学员由所属地一次性往返于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南京</w:t>
      </w:r>
      <w:r>
        <w:rPr>
          <w:rFonts w:hint="eastAsia" w:asciiTheme="minorEastAsia" w:hAnsiTheme="minorEastAsia"/>
          <w:sz w:val="32"/>
          <w:szCs w:val="32"/>
          <w:lang w:eastAsia="zh-CN"/>
        </w:rPr>
        <w:t>参加培训产生的城市间交通费用。</w:t>
      </w:r>
    </w:p>
    <w:p>
      <w:pPr>
        <w:spacing w:after="0" w:line="240" w:lineRule="auto"/>
        <w:ind w:firstLine="641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第二条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学员可乘坐火车、飞机等交通工具往返。</w:t>
      </w:r>
    </w:p>
    <w:p>
      <w:pPr>
        <w:spacing w:after="0" w:line="240" w:lineRule="auto"/>
        <w:ind w:firstLine="641" w:firstLineChars="20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第三条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学员要按照规定乘坐交通工具，凭据报销交通费。因经费有限，请学员优先选择铁路交通</w:t>
      </w:r>
      <w:r>
        <w:rPr>
          <w:rFonts w:hint="default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eastAsia="zh-CN"/>
        </w:rPr>
        <w:t>高铁、动车、普通列车</w:t>
      </w:r>
      <w:r>
        <w:rPr>
          <w:rFonts w:hint="default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如遇</w:t>
      </w:r>
      <w:r>
        <w:rPr>
          <w:rFonts w:hint="eastAsia" w:asciiTheme="minorEastAsia" w:hAnsiTheme="minorEastAsia"/>
          <w:sz w:val="32"/>
          <w:szCs w:val="32"/>
          <w:lang w:eastAsia="zh-CN"/>
        </w:rPr>
        <w:t>情况特殊</w:t>
      </w:r>
      <w:r>
        <w:rPr>
          <w:rFonts w:hint="default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请提前递交申请</w:t>
      </w:r>
      <w:r>
        <w:rPr>
          <w:rFonts w:hint="default" w:asciiTheme="minorEastAsia" w:hAnsiTheme="minorEastAsia"/>
          <w:sz w:val="32"/>
          <w:szCs w:val="32"/>
          <w:lang w:eastAsia="zh-Hans"/>
        </w:rPr>
        <w:t>，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在</w:t>
      </w:r>
      <w:r>
        <w:rPr>
          <w:rFonts w:hint="eastAsia" w:asciiTheme="minorEastAsia" w:hAnsiTheme="minorEastAsia"/>
          <w:sz w:val="32"/>
          <w:szCs w:val="32"/>
          <w:lang w:eastAsia="zh-CN"/>
        </w:rPr>
        <w:t>征得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南京艺术学院</w:t>
      </w:r>
      <w:r>
        <w:rPr>
          <w:rFonts w:hint="eastAsia" w:asciiTheme="minorEastAsia" w:hAnsiTheme="minorEastAsia"/>
          <w:sz w:val="32"/>
          <w:szCs w:val="32"/>
          <w:lang w:eastAsia="zh-CN"/>
        </w:rPr>
        <w:t>同意后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方</w:t>
      </w:r>
      <w:r>
        <w:rPr>
          <w:rFonts w:hint="eastAsia" w:asciiTheme="minorEastAsia" w:hAnsiTheme="minorEastAsia"/>
          <w:sz w:val="32"/>
          <w:szCs w:val="32"/>
          <w:lang w:eastAsia="zh-CN"/>
        </w:rPr>
        <w:t>乘坐飞机</w:t>
      </w:r>
      <w:r>
        <w:rPr>
          <w:rFonts w:hint="default" w:asciiTheme="minorEastAsia" w:hAnsi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/>
          <w:sz w:val="32"/>
          <w:szCs w:val="32"/>
          <w:lang w:eastAsia="zh-CN"/>
        </w:rPr>
        <w:t>乘坐交通工具舱级的具体规定见下表：</w:t>
      </w:r>
    </w:p>
    <w:p>
      <w:pPr>
        <w:spacing w:after="0" w:line="240" w:lineRule="auto"/>
        <w:ind w:firstLine="640" w:firstLineChars="200"/>
        <w:rPr>
          <w:rFonts w:hint="eastAsia" w:asciiTheme="minorEastAsia" w:hAnsiTheme="minorEastAsia"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ind w:firstLine="641" w:firstLineChars="20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641" w:firstLineChars="20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>
            <w:pPr>
              <w:spacing w:after="0" w:line="240" w:lineRule="auto"/>
              <w:ind w:firstLine="160" w:firstLineChars="5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480" w:firstLineChars="15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>
            <w:pPr>
              <w:spacing w:after="0" w:line="240" w:lineRule="auto"/>
              <w:ind w:firstLine="320" w:firstLineChars="10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长途客车等</w:t>
            </w:r>
          </w:p>
          <w:p>
            <w:pPr>
              <w:spacing w:after="0" w:line="240" w:lineRule="auto"/>
              <w:ind w:firstLine="480" w:firstLineChars="15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凭据报销</w:t>
            </w:r>
          </w:p>
        </w:tc>
      </w:tr>
    </w:tbl>
    <w:p>
      <w:pPr>
        <w:ind w:firstLine="640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未按规定乘坐交通工具的，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费用</w:t>
      </w:r>
      <w:r>
        <w:rPr>
          <w:rFonts w:hint="eastAsia" w:asciiTheme="minorEastAsia" w:hAnsiTheme="minorEastAsia"/>
          <w:sz w:val="32"/>
          <w:szCs w:val="32"/>
          <w:lang w:eastAsia="zh-CN"/>
        </w:rPr>
        <w:t>由个人自理。</w:t>
      </w:r>
    </w:p>
    <w:p>
      <w:pPr>
        <w:ind w:firstLine="641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第四条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学员于报到当日提供到达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南京</w:t>
      </w:r>
      <w:r>
        <w:rPr>
          <w:rFonts w:hint="eastAsia" w:asciiTheme="minorEastAsia" w:hAnsiTheme="minorEastAsia"/>
          <w:sz w:val="32"/>
          <w:szCs w:val="32"/>
          <w:lang w:eastAsia="zh-CN"/>
        </w:rPr>
        <w:t>的单程票据，返程票据请于培训结束后5个工作日内邮寄至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南京艺术学院美术学院</w:t>
      </w:r>
      <w:r>
        <w:rPr>
          <w:rFonts w:hint="eastAsia" w:asciiTheme="minorEastAsia" w:hAnsiTheme="minorEastAsia"/>
          <w:sz w:val="32"/>
          <w:szCs w:val="32"/>
          <w:lang w:eastAsia="zh-CN"/>
        </w:rPr>
        <w:t>，地址：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南京市鼓楼区北京西路</w:t>
      </w:r>
      <w:r>
        <w:rPr>
          <w:rFonts w:hint="default" w:asciiTheme="minorEastAsia" w:hAnsiTheme="minorEastAsia"/>
          <w:sz w:val="32"/>
          <w:szCs w:val="32"/>
          <w:lang w:eastAsia="zh-Hans"/>
        </w:rPr>
        <w:t>74</w:t>
      </w:r>
      <w:r>
        <w:rPr>
          <w:rFonts w:hint="eastAsia" w:asciiTheme="minorEastAsia" w:hAnsiTheme="minorEastAsia"/>
          <w:sz w:val="32"/>
          <w:szCs w:val="32"/>
          <w:lang w:val="en-US" w:eastAsia="zh-Hans"/>
        </w:rPr>
        <w:t>号南京艺术学院美术学院C楼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.苹方-简">
    <w:altName w:val="苹方-简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AppleSystemUIFont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20300000000000000"/>
    <w:charset w:val="00"/>
    <w:family w:val="roman"/>
    <w:pitch w:val="default"/>
    <w:sig w:usb0="00000000" w:usb1="00000000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A62D0"/>
    <w:rsid w:val="7F7A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2021-11-04T17:59:00Z</dcterms:created>
  <dc:creator>AMENG</dc:creator>
  <cp:lastModifiedBy>AMENG</cp:lastModifiedBy>
  <dcterms:modified xsi:type="dcterms:W3CDTF">2021-11-04T17:59:48Z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